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5CAD5" w14:textId="77777777" w:rsidR="00AD0C1A" w:rsidRPr="00457DCF" w:rsidRDefault="00AD0C1A" w:rsidP="00AD0C1A">
      <w:pPr>
        <w:jc w:val="center"/>
      </w:pPr>
      <w:r w:rsidRPr="00457DCF">
        <w:rPr>
          <w:b/>
        </w:rPr>
        <w:t>ASCC A&amp;H1 Panel</w:t>
      </w:r>
    </w:p>
    <w:p w14:paraId="7773147C" w14:textId="0A2806BC" w:rsidR="00AD0C1A" w:rsidRPr="00457DCF" w:rsidRDefault="00F1546F" w:rsidP="00AD0C1A">
      <w:pPr>
        <w:jc w:val="center"/>
      </w:pPr>
      <w:r>
        <w:t>A</w:t>
      </w:r>
      <w:bookmarkStart w:id="0" w:name="_GoBack"/>
      <w:bookmarkEnd w:id="0"/>
      <w:r w:rsidR="009D382E">
        <w:t>pproved</w:t>
      </w:r>
      <w:r w:rsidR="00AD0C1A" w:rsidRPr="00457DCF">
        <w:t xml:space="preserve"> Minutes</w:t>
      </w:r>
    </w:p>
    <w:p w14:paraId="14E5C15A" w14:textId="77777777" w:rsidR="00AD0C1A" w:rsidRPr="00457DCF" w:rsidRDefault="00AD0C1A" w:rsidP="00AD0C1A"/>
    <w:p w14:paraId="4D37472D" w14:textId="77777777" w:rsidR="00AD0C1A" w:rsidRPr="00457DCF" w:rsidRDefault="003D2941" w:rsidP="00AD0C1A">
      <w:r>
        <w:t>Friday, January 27</w:t>
      </w:r>
      <w:r w:rsidR="00AD0C1A" w:rsidRPr="00457DCF">
        <w:t>, 2017</w:t>
      </w:r>
      <w:r w:rsidR="00AD0C1A" w:rsidRPr="00457DCF">
        <w:tab/>
      </w:r>
      <w:r w:rsidR="00AD0C1A" w:rsidRPr="00457DCF">
        <w:tab/>
      </w:r>
      <w:r w:rsidR="00AD0C1A" w:rsidRPr="00457DCF">
        <w:tab/>
      </w:r>
      <w:r w:rsidR="00AD0C1A" w:rsidRPr="00457DCF">
        <w:tab/>
      </w:r>
      <w:r w:rsidR="00AD0C1A" w:rsidRPr="00457DCF">
        <w:tab/>
      </w:r>
      <w:r w:rsidR="00AD0C1A" w:rsidRPr="00457DCF">
        <w:tab/>
      </w:r>
      <w:r w:rsidR="00AD0C1A" w:rsidRPr="00457DCF">
        <w:tab/>
        <w:t>9:00 -10:30 AM</w:t>
      </w:r>
    </w:p>
    <w:p w14:paraId="5CB26D00" w14:textId="77777777" w:rsidR="00AD0C1A" w:rsidRPr="00457DCF" w:rsidRDefault="00AD0C1A" w:rsidP="00AD0C1A">
      <w:r w:rsidRPr="00457DCF">
        <w:t>110 Denney Hall</w:t>
      </w:r>
    </w:p>
    <w:p w14:paraId="440C892B" w14:textId="77777777" w:rsidR="00AD0C1A" w:rsidRPr="00457DCF" w:rsidRDefault="00AD0C1A" w:rsidP="00AD0C1A"/>
    <w:p w14:paraId="2FF70D3D" w14:textId="77777777" w:rsidR="00AD0C1A" w:rsidRPr="00457DCF" w:rsidRDefault="00E34DE6" w:rsidP="00AD0C1A">
      <w:r>
        <w:t>ATTENDEES: Aski, Bitters</w:t>
      </w:r>
      <w:r w:rsidR="00AD0C1A" w:rsidRPr="00457DCF">
        <w:t xml:space="preserve">, Oldroyd, </w:t>
      </w:r>
      <w:r w:rsidR="00AD0C1A" w:rsidRPr="00457DCF">
        <w:rPr>
          <w:color w:val="333333"/>
          <w:shd w:val="clear" w:color="auto" w:fill="FFFFFF"/>
        </w:rPr>
        <w:t>Taleghani-Nikazm</w:t>
      </w:r>
      <w:r w:rsidR="00AD0C1A" w:rsidRPr="00457DCF">
        <w:t>, Vankeerbergen</w:t>
      </w:r>
      <w:r>
        <w:t xml:space="preserve">, </w:t>
      </w:r>
      <w:r w:rsidR="00115848">
        <w:t>Zuniga-Shaw</w:t>
      </w:r>
    </w:p>
    <w:p w14:paraId="33C3B61A" w14:textId="77777777" w:rsidR="00AD0C1A" w:rsidRPr="00457DCF" w:rsidRDefault="00AD0C1A" w:rsidP="00AD0C1A"/>
    <w:p w14:paraId="762DCE39" w14:textId="77777777" w:rsidR="00AD0C1A" w:rsidRPr="00457DCF" w:rsidRDefault="00AD0C1A" w:rsidP="00AD0C1A">
      <w:r w:rsidRPr="00457DCF">
        <w:t xml:space="preserve">AGENDA: </w:t>
      </w:r>
    </w:p>
    <w:p w14:paraId="564D452F" w14:textId="77777777" w:rsidR="00AD0C1A" w:rsidRPr="00457DCF" w:rsidRDefault="00AD0C1A" w:rsidP="003D2941"/>
    <w:p w14:paraId="6D640C3D" w14:textId="77777777" w:rsidR="00AD0C1A" w:rsidRDefault="003D2941" w:rsidP="003D2941">
      <w:pPr>
        <w:pStyle w:val="ListParagraph"/>
        <w:numPr>
          <w:ilvl w:val="0"/>
          <w:numId w:val="9"/>
        </w:numPr>
        <w:suppressAutoHyphens w:val="0"/>
      </w:pPr>
      <w:r>
        <w:rPr>
          <w:lang w:eastAsia="en-US"/>
        </w:rPr>
        <w:t>Approval of 1-13-17</w:t>
      </w:r>
      <w:r w:rsidR="00AD0C1A" w:rsidRPr="003D2941">
        <w:rPr>
          <w:lang w:eastAsia="en-US"/>
        </w:rPr>
        <w:t xml:space="preserve"> minutes </w:t>
      </w:r>
    </w:p>
    <w:p w14:paraId="32367D24" w14:textId="77777777" w:rsidR="003D2941" w:rsidRDefault="00115848" w:rsidP="003D2941">
      <w:pPr>
        <w:pStyle w:val="ListParagraph"/>
        <w:numPr>
          <w:ilvl w:val="0"/>
          <w:numId w:val="11"/>
        </w:numPr>
        <w:suppressAutoHyphens w:val="0"/>
      </w:pPr>
      <w:r w:rsidRPr="00457DCF">
        <w:rPr>
          <w:color w:val="333333"/>
          <w:shd w:val="clear" w:color="auto" w:fill="FFFFFF"/>
        </w:rPr>
        <w:t>Taleghani-Nikazm</w:t>
      </w:r>
      <w:r w:rsidR="00E34DE6">
        <w:t xml:space="preserve">, </w:t>
      </w:r>
      <w:r>
        <w:t xml:space="preserve">Zuniga-Shaw, </w:t>
      </w:r>
      <w:r w:rsidR="00D56CDA">
        <w:rPr>
          <w:b/>
        </w:rPr>
        <w:t xml:space="preserve">unanimously approved </w:t>
      </w:r>
    </w:p>
    <w:p w14:paraId="6F6BA704" w14:textId="77777777" w:rsidR="00F033B4" w:rsidRPr="003D2941" w:rsidRDefault="00F033B4" w:rsidP="00F033B4">
      <w:pPr>
        <w:suppressAutoHyphens w:val="0"/>
      </w:pPr>
    </w:p>
    <w:p w14:paraId="0FF33599" w14:textId="77777777" w:rsidR="003D2941" w:rsidRPr="003D2941" w:rsidRDefault="003D2941" w:rsidP="003D2941">
      <w:pPr>
        <w:pStyle w:val="ListParagraph"/>
        <w:numPr>
          <w:ilvl w:val="0"/>
          <w:numId w:val="9"/>
        </w:numPr>
        <w:suppressAutoHyphens w:val="0"/>
        <w:rPr>
          <w:lang w:eastAsia="en-US"/>
        </w:rPr>
      </w:pPr>
      <w:r w:rsidRPr="003D2941">
        <w:rPr>
          <w:lang w:eastAsia="en-US"/>
        </w:rPr>
        <w:t>Design 3104 (new)  </w:t>
      </w:r>
    </w:p>
    <w:p w14:paraId="005BECDA" w14:textId="77777777" w:rsidR="003D2941" w:rsidRDefault="007B6998" w:rsidP="003D2941">
      <w:pPr>
        <w:pStyle w:val="ListParagraph"/>
        <w:numPr>
          <w:ilvl w:val="0"/>
          <w:numId w:val="10"/>
        </w:numPr>
        <w:suppressAutoHyphens w:val="0"/>
        <w:rPr>
          <w:lang w:eastAsia="en-US"/>
        </w:rPr>
      </w:pPr>
      <w:r>
        <w:rPr>
          <w:lang w:eastAsia="en-US"/>
        </w:rPr>
        <w:t>Contact hours are 165</w:t>
      </w:r>
    </w:p>
    <w:p w14:paraId="619A187F" w14:textId="77777777" w:rsidR="00380E7A" w:rsidRDefault="00380E7A" w:rsidP="003D2941">
      <w:pPr>
        <w:pStyle w:val="ListParagraph"/>
        <w:numPr>
          <w:ilvl w:val="0"/>
          <w:numId w:val="10"/>
        </w:numPr>
        <w:suppressAutoHyphens w:val="0"/>
        <w:rPr>
          <w:i/>
          <w:lang w:eastAsia="en-US"/>
        </w:rPr>
      </w:pPr>
      <w:r w:rsidRPr="00380E7A">
        <w:rPr>
          <w:i/>
          <w:lang w:eastAsia="en-US"/>
        </w:rPr>
        <w:t xml:space="preserve">Recommendation: Most syllabi do not list academic misconduct and disability statements at the end of the syllabus. The panel suggests moving the statements and placing them before the course schedule. </w:t>
      </w:r>
    </w:p>
    <w:p w14:paraId="6FAAADE8" w14:textId="77777777" w:rsidR="00E87A84" w:rsidRDefault="00BF1D6D" w:rsidP="00BF1D6D">
      <w:pPr>
        <w:pStyle w:val="ListParagraph"/>
        <w:numPr>
          <w:ilvl w:val="0"/>
          <w:numId w:val="10"/>
        </w:numPr>
        <w:suppressAutoHyphens w:val="0"/>
        <w:rPr>
          <w:i/>
          <w:lang w:eastAsia="en-US"/>
        </w:rPr>
      </w:pPr>
      <w:r w:rsidRPr="00457DCF">
        <w:rPr>
          <w:color w:val="333333"/>
          <w:shd w:val="clear" w:color="auto" w:fill="FFFFFF"/>
        </w:rPr>
        <w:t>Taleghani-Nikazm</w:t>
      </w:r>
      <w:r>
        <w:rPr>
          <w:lang w:eastAsia="en-US"/>
        </w:rPr>
        <w:t>,</w:t>
      </w:r>
      <w:r w:rsidRPr="00115848">
        <w:t xml:space="preserve"> </w:t>
      </w:r>
      <w:r>
        <w:t>Zuniga-Shaw</w:t>
      </w:r>
      <w:r w:rsidR="00DB1E5A">
        <w:rPr>
          <w:lang w:eastAsia="en-US"/>
        </w:rPr>
        <w:t xml:space="preserve">, </w:t>
      </w:r>
      <w:r w:rsidR="00DB1E5A">
        <w:rPr>
          <w:b/>
          <w:lang w:eastAsia="en-US"/>
        </w:rPr>
        <w:t xml:space="preserve">unanimously </w:t>
      </w:r>
      <w:r w:rsidRPr="00BF1D6D">
        <w:rPr>
          <w:b/>
          <w:lang w:eastAsia="en-US"/>
        </w:rPr>
        <w:t xml:space="preserve">approved </w:t>
      </w:r>
      <w:r>
        <w:rPr>
          <w:lang w:eastAsia="en-US"/>
        </w:rPr>
        <w:t xml:space="preserve">with </w:t>
      </w:r>
      <w:r>
        <w:rPr>
          <w:i/>
          <w:lang w:eastAsia="en-US"/>
        </w:rPr>
        <w:t>recommendation (in italics)</w:t>
      </w:r>
    </w:p>
    <w:p w14:paraId="01DE897B" w14:textId="77777777" w:rsidR="00BF1D6D" w:rsidRPr="00E87A84" w:rsidRDefault="00BF1D6D" w:rsidP="00E87A84">
      <w:pPr>
        <w:suppressAutoHyphens w:val="0"/>
        <w:rPr>
          <w:i/>
          <w:lang w:eastAsia="en-US"/>
        </w:rPr>
      </w:pPr>
      <w:r w:rsidRPr="00E87A84">
        <w:rPr>
          <w:i/>
          <w:lang w:eastAsia="en-US"/>
        </w:rPr>
        <w:t xml:space="preserve"> </w:t>
      </w:r>
    </w:p>
    <w:p w14:paraId="514CF23F" w14:textId="77777777" w:rsidR="003D2941" w:rsidRPr="003D2941" w:rsidRDefault="003D2941" w:rsidP="003D2941">
      <w:pPr>
        <w:pStyle w:val="ListParagraph"/>
        <w:numPr>
          <w:ilvl w:val="0"/>
          <w:numId w:val="9"/>
        </w:numPr>
        <w:suppressAutoHyphens w:val="0"/>
        <w:rPr>
          <w:lang w:eastAsia="en-US"/>
        </w:rPr>
      </w:pPr>
      <w:r w:rsidRPr="003D2941">
        <w:rPr>
          <w:lang w:eastAsia="en-US"/>
        </w:rPr>
        <w:t xml:space="preserve">Design 4104 (new) </w:t>
      </w:r>
    </w:p>
    <w:p w14:paraId="0FF64E6F" w14:textId="788C018A" w:rsidR="003E53C3" w:rsidRPr="00380E7A" w:rsidRDefault="003E53C3" w:rsidP="003D2941">
      <w:pPr>
        <w:pStyle w:val="ListParagraph"/>
        <w:numPr>
          <w:ilvl w:val="0"/>
          <w:numId w:val="10"/>
        </w:numPr>
        <w:suppressAutoHyphens w:val="0"/>
        <w:rPr>
          <w:b/>
          <w:lang w:eastAsia="en-US"/>
        </w:rPr>
      </w:pPr>
      <w:r>
        <w:rPr>
          <w:b/>
          <w:lang w:eastAsia="en-US"/>
        </w:rPr>
        <w:t xml:space="preserve">Contingency: </w:t>
      </w:r>
      <w:r w:rsidR="002664E9">
        <w:rPr>
          <w:b/>
          <w:lang w:eastAsia="en-US"/>
        </w:rPr>
        <w:t>provide</w:t>
      </w:r>
      <w:r>
        <w:rPr>
          <w:b/>
          <w:lang w:eastAsia="en-US"/>
        </w:rPr>
        <w:t xml:space="preserve"> descriptions of what assignments are about as well as length and format. Furthermore, response paper #3 is listed as due on both week 11.1 and week 12.1. </w:t>
      </w:r>
    </w:p>
    <w:p w14:paraId="772B9FE2" w14:textId="77777777" w:rsidR="00380E7A" w:rsidRPr="00E93C5B" w:rsidRDefault="007B6998" w:rsidP="00380E7A">
      <w:pPr>
        <w:pStyle w:val="ListParagraph"/>
        <w:numPr>
          <w:ilvl w:val="0"/>
          <w:numId w:val="10"/>
        </w:numPr>
        <w:suppressAutoHyphens w:val="0"/>
        <w:rPr>
          <w:i/>
          <w:lang w:eastAsia="en-US"/>
        </w:rPr>
      </w:pPr>
      <w:r w:rsidRPr="00E93C5B">
        <w:rPr>
          <w:i/>
          <w:lang w:eastAsia="en-US"/>
        </w:rPr>
        <w:t>Recommendation</w:t>
      </w:r>
      <w:r w:rsidR="00380E7A" w:rsidRPr="00E93C5B">
        <w:rPr>
          <w:i/>
          <w:lang w:eastAsia="en-US"/>
        </w:rPr>
        <w:t>s</w:t>
      </w:r>
      <w:r w:rsidRPr="00E93C5B">
        <w:rPr>
          <w:i/>
          <w:lang w:eastAsia="en-US"/>
        </w:rPr>
        <w:t xml:space="preserve">: </w:t>
      </w:r>
    </w:p>
    <w:p w14:paraId="5FA19DB5" w14:textId="77777777" w:rsidR="00380E7A" w:rsidRPr="00E93C5B" w:rsidRDefault="00380E7A" w:rsidP="00380E7A">
      <w:pPr>
        <w:pStyle w:val="ListParagraph"/>
        <w:numPr>
          <w:ilvl w:val="1"/>
          <w:numId w:val="10"/>
        </w:numPr>
        <w:suppressAutoHyphens w:val="0"/>
        <w:rPr>
          <w:i/>
          <w:lang w:eastAsia="en-US"/>
        </w:rPr>
      </w:pPr>
      <w:r w:rsidRPr="00E93C5B">
        <w:rPr>
          <w:i/>
          <w:lang w:eastAsia="en-US"/>
        </w:rPr>
        <w:t xml:space="preserve">Most syllabi do not list academic misconduct and disability statements at the end of the syllabus. The panel suggests moving the statements and placing them before the course schedule. </w:t>
      </w:r>
    </w:p>
    <w:p w14:paraId="562C054A" w14:textId="77777777" w:rsidR="00380E7A" w:rsidRDefault="00AC1B5F" w:rsidP="00380E7A">
      <w:pPr>
        <w:pStyle w:val="ListParagraph"/>
        <w:numPr>
          <w:ilvl w:val="1"/>
          <w:numId w:val="10"/>
        </w:numPr>
        <w:suppressAutoHyphens w:val="0"/>
        <w:rPr>
          <w:i/>
          <w:lang w:eastAsia="en-US"/>
        </w:rPr>
      </w:pPr>
      <w:r w:rsidRPr="00E93C5B">
        <w:rPr>
          <w:i/>
          <w:lang w:eastAsia="en-US"/>
        </w:rPr>
        <w:t>An attendance pol</w:t>
      </w:r>
      <w:r w:rsidR="00E93C5B" w:rsidRPr="00E93C5B">
        <w:rPr>
          <w:i/>
          <w:lang w:eastAsia="en-US"/>
        </w:rPr>
        <w:t xml:space="preserve">icy is required for an operational syllabus. Please be sure to add an attendance policy before the first course offering. </w:t>
      </w:r>
    </w:p>
    <w:p w14:paraId="71D3CE3B" w14:textId="77777777" w:rsidR="00BF1D6D" w:rsidRPr="00E87A84" w:rsidRDefault="00BF1D6D" w:rsidP="00BF1D6D">
      <w:pPr>
        <w:pStyle w:val="ListParagraph"/>
        <w:numPr>
          <w:ilvl w:val="0"/>
          <w:numId w:val="10"/>
        </w:numPr>
        <w:suppressAutoHyphens w:val="0"/>
        <w:rPr>
          <w:lang w:eastAsia="en-US"/>
        </w:rPr>
      </w:pPr>
      <w:r w:rsidRPr="00457DCF">
        <w:rPr>
          <w:color w:val="333333"/>
          <w:shd w:val="clear" w:color="auto" w:fill="FFFFFF"/>
        </w:rPr>
        <w:t>Taleghani-Nikazm</w:t>
      </w:r>
      <w:r>
        <w:rPr>
          <w:lang w:eastAsia="en-US"/>
        </w:rPr>
        <w:t>,</w:t>
      </w:r>
      <w:r w:rsidRPr="00115848">
        <w:t xml:space="preserve"> </w:t>
      </w:r>
      <w:r>
        <w:t>Zuniga-Shaw</w:t>
      </w:r>
      <w:r>
        <w:rPr>
          <w:lang w:eastAsia="en-US"/>
        </w:rPr>
        <w:t xml:space="preserve">, </w:t>
      </w:r>
      <w:r w:rsidRPr="00BF1D6D">
        <w:rPr>
          <w:b/>
          <w:lang w:eastAsia="en-US"/>
        </w:rPr>
        <w:t>unanimously</w:t>
      </w:r>
      <w:r w:rsidR="00DB1E5A">
        <w:rPr>
          <w:lang w:eastAsia="en-US"/>
        </w:rPr>
        <w:t xml:space="preserve"> </w:t>
      </w:r>
      <w:r w:rsidR="00DB1E5A">
        <w:rPr>
          <w:b/>
          <w:lang w:eastAsia="en-US"/>
        </w:rPr>
        <w:t xml:space="preserve">approved </w:t>
      </w:r>
      <w:r>
        <w:rPr>
          <w:lang w:eastAsia="en-US"/>
        </w:rPr>
        <w:t xml:space="preserve">with </w:t>
      </w:r>
      <w:r>
        <w:rPr>
          <w:i/>
          <w:lang w:eastAsia="en-US"/>
        </w:rPr>
        <w:t>two recommendations (in italics)</w:t>
      </w:r>
      <w:r>
        <w:rPr>
          <w:lang w:eastAsia="en-US"/>
        </w:rPr>
        <w:t xml:space="preserve"> and </w:t>
      </w:r>
      <w:r>
        <w:rPr>
          <w:b/>
          <w:lang w:eastAsia="en-US"/>
        </w:rPr>
        <w:t xml:space="preserve">one contingency (in bold). </w:t>
      </w:r>
    </w:p>
    <w:p w14:paraId="659BB248" w14:textId="77777777" w:rsidR="00E87A84" w:rsidRPr="00BF1D6D" w:rsidRDefault="00E87A84" w:rsidP="00E87A84">
      <w:pPr>
        <w:suppressAutoHyphens w:val="0"/>
        <w:rPr>
          <w:lang w:eastAsia="en-US"/>
        </w:rPr>
      </w:pPr>
    </w:p>
    <w:p w14:paraId="21134FF2" w14:textId="77777777" w:rsidR="003D2941" w:rsidRPr="003D2941" w:rsidRDefault="003D2941" w:rsidP="003D2941">
      <w:pPr>
        <w:pStyle w:val="ListParagraph"/>
        <w:numPr>
          <w:ilvl w:val="0"/>
          <w:numId w:val="9"/>
        </w:numPr>
        <w:suppressAutoHyphens w:val="0"/>
        <w:rPr>
          <w:lang w:eastAsia="en-US"/>
        </w:rPr>
      </w:pPr>
      <w:r w:rsidRPr="003D2941">
        <w:rPr>
          <w:lang w:eastAsia="en-US"/>
        </w:rPr>
        <w:t xml:space="preserve">Design 4154 (new) </w:t>
      </w:r>
    </w:p>
    <w:p w14:paraId="7CEEBDF1" w14:textId="674AAA8A" w:rsidR="003E53C3" w:rsidRPr="003E53C3" w:rsidRDefault="003E53C3" w:rsidP="00462988">
      <w:pPr>
        <w:pStyle w:val="ListParagraph"/>
        <w:numPr>
          <w:ilvl w:val="0"/>
          <w:numId w:val="10"/>
        </w:numPr>
        <w:suppressAutoHyphens w:val="0"/>
        <w:rPr>
          <w:i/>
          <w:lang w:eastAsia="en-US"/>
        </w:rPr>
      </w:pPr>
      <w:r>
        <w:rPr>
          <w:b/>
          <w:lang w:eastAsia="en-US"/>
        </w:rPr>
        <w:t xml:space="preserve">Contingency: </w:t>
      </w:r>
      <w:r w:rsidR="002664E9">
        <w:rPr>
          <w:b/>
          <w:lang w:eastAsia="en-US"/>
        </w:rPr>
        <w:t>provide</w:t>
      </w:r>
      <w:r>
        <w:rPr>
          <w:b/>
          <w:lang w:eastAsia="en-US"/>
        </w:rPr>
        <w:t xml:space="preserve"> descriptions of what assignments are about as well as length and format. </w:t>
      </w:r>
    </w:p>
    <w:p w14:paraId="6DF9CE3E" w14:textId="77777777" w:rsidR="00462988" w:rsidRPr="00E93C5B" w:rsidRDefault="007B6998" w:rsidP="00462988">
      <w:pPr>
        <w:pStyle w:val="ListParagraph"/>
        <w:numPr>
          <w:ilvl w:val="0"/>
          <w:numId w:val="10"/>
        </w:numPr>
        <w:suppressAutoHyphens w:val="0"/>
        <w:rPr>
          <w:i/>
          <w:lang w:eastAsia="en-US"/>
        </w:rPr>
      </w:pPr>
      <w:r w:rsidRPr="00E93C5B">
        <w:rPr>
          <w:i/>
          <w:lang w:eastAsia="en-US"/>
        </w:rPr>
        <w:t>Recommendation</w:t>
      </w:r>
      <w:r w:rsidR="00380E7A" w:rsidRPr="00E93C5B">
        <w:rPr>
          <w:i/>
          <w:lang w:eastAsia="en-US"/>
        </w:rPr>
        <w:t>s</w:t>
      </w:r>
      <w:r w:rsidRPr="00E93C5B">
        <w:rPr>
          <w:i/>
          <w:lang w:eastAsia="en-US"/>
        </w:rPr>
        <w:t xml:space="preserve">: </w:t>
      </w:r>
    </w:p>
    <w:p w14:paraId="236A1EEE" w14:textId="77777777" w:rsidR="00380E7A" w:rsidRPr="00E93C5B" w:rsidRDefault="00380E7A" w:rsidP="00380E7A">
      <w:pPr>
        <w:pStyle w:val="ListParagraph"/>
        <w:numPr>
          <w:ilvl w:val="1"/>
          <w:numId w:val="10"/>
        </w:numPr>
        <w:suppressAutoHyphens w:val="0"/>
        <w:rPr>
          <w:i/>
          <w:lang w:eastAsia="en-US"/>
        </w:rPr>
      </w:pPr>
      <w:r w:rsidRPr="00E93C5B">
        <w:rPr>
          <w:i/>
          <w:lang w:eastAsia="en-US"/>
        </w:rPr>
        <w:t xml:space="preserve">Most syllabi do not list academic misconduct and disability statements at the end of the syllabus. The panel suggests moving the statements and placing them before the course schedule. </w:t>
      </w:r>
    </w:p>
    <w:p w14:paraId="3931546C" w14:textId="77777777" w:rsidR="00E93C5B" w:rsidRPr="00E93C5B" w:rsidRDefault="00E93C5B" w:rsidP="00E93C5B">
      <w:pPr>
        <w:pStyle w:val="ListParagraph"/>
        <w:numPr>
          <w:ilvl w:val="1"/>
          <w:numId w:val="10"/>
        </w:numPr>
        <w:suppressAutoHyphens w:val="0"/>
        <w:rPr>
          <w:i/>
          <w:lang w:eastAsia="en-US"/>
        </w:rPr>
      </w:pPr>
      <w:r w:rsidRPr="00E93C5B">
        <w:rPr>
          <w:i/>
          <w:lang w:eastAsia="en-US"/>
        </w:rPr>
        <w:t xml:space="preserve">An attendance policy is required for an operational syllabus. Please be sure to add an attendance policy before the first course offering. </w:t>
      </w:r>
    </w:p>
    <w:p w14:paraId="34808369" w14:textId="77777777" w:rsidR="00BF1D6D" w:rsidRPr="00E87A84" w:rsidRDefault="00BF1D6D" w:rsidP="00BF1D6D">
      <w:pPr>
        <w:pStyle w:val="ListParagraph"/>
        <w:numPr>
          <w:ilvl w:val="0"/>
          <w:numId w:val="10"/>
        </w:numPr>
        <w:suppressAutoHyphens w:val="0"/>
        <w:rPr>
          <w:lang w:eastAsia="en-US"/>
        </w:rPr>
      </w:pPr>
      <w:r w:rsidRPr="00457DCF">
        <w:rPr>
          <w:color w:val="333333"/>
          <w:shd w:val="clear" w:color="auto" w:fill="FFFFFF"/>
        </w:rPr>
        <w:t>Taleghani-Nikazm</w:t>
      </w:r>
      <w:r>
        <w:rPr>
          <w:lang w:eastAsia="en-US"/>
        </w:rPr>
        <w:t>,</w:t>
      </w:r>
      <w:r w:rsidRPr="00115848">
        <w:t xml:space="preserve"> </w:t>
      </w:r>
      <w:r>
        <w:t>Zuniga-Shaw</w:t>
      </w:r>
      <w:r w:rsidR="00DB1E5A">
        <w:rPr>
          <w:lang w:eastAsia="en-US"/>
        </w:rPr>
        <w:t>,</w:t>
      </w:r>
      <w:r w:rsidRPr="00BF1D6D">
        <w:rPr>
          <w:b/>
          <w:lang w:eastAsia="en-US"/>
        </w:rPr>
        <w:t xml:space="preserve"> unanimously</w:t>
      </w:r>
      <w:r w:rsidR="00DB1E5A">
        <w:rPr>
          <w:b/>
          <w:lang w:eastAsia="en-US"/>
        </w:rPr>
        <w:t xml:space="preserve"> approved</w:t>
      </w:r>
      <w:r>
        <w:rPr>
          <w:lang w:eastAsia="en-US"/>
        </w:rPr>
        <w:t xml:space="preserve"> with </w:t>
      </w:r>
      <w:r>
        <w:rPr>
          <w:i/>
          <w:lang w:eastAsia="en-US"/>
        </w:rPr>
        <w:t>two recommendations (in italics)</w:t>
      </w:r>
      <w:r>
        <w:rPr>
          <w:lang w:eastAsia="en-US"/>
        </w:rPr>
        <w:t xml:space="preserve"> and </w:t>
      </w:r>
      <w:r>
        <w:rPr>
          <w:b/>
          <w:lang w:eastAsia="en-US"/>
        </w:rPr>
        <w:t xml:space="preserve">one contingency (in bold). </w:t>
      </w:r>
    </w:p>
    <w:p w14:paraId="413E1442" w14:textId="77777777" w:rsidR="00E87A84" w:rsidRPr="00BF1D6D" w:rsidRDefault="00E87A84" w:rsidP="00E87A84">
      <w:pPr>
        <w:suppressAutoHyphens w:val="0"/>
        <w:rPr>
          <w:lang w:eastAsia="en-US"/>
        </w:rPr>
      </w:pPr>
    </w:p>
    <w:p w14:paraId="059BFBE6" w14:textId="77777777" w:rsidR="003D2941" w:rsidRPr="003D2941" w:rsidRDefault="003D2941" w:rsidP="003D2941">
      <w:pPr>
        <w:pStyle w:val="ListParagraph"/>
        <w:numPr>
          <w:ilvl w:val="0"/>
          <w:numId w:val="9"/>
        </w:numPr>
        <w:suppressAutoHyphens w:val="0"/>
        <w:rPr>
          <w:lang w:eastAsia="en-US"/>
        </w:rPr>
      </w:pPr>
      <w:r w:rsidRPr="003D2941">
        <w:rPr>
          <w:lang w:eastAsia="en-US"/>
        </w:rPr>
        <w:lastRenderedPageBreak/>
        <w:t xml:space="preserve">Pharmacy 3420 (new course; requesting GE Cultures and Ideas &amp; 100% distance learning delivery) </w:t>
      </w:r>
    </w:p>
    <w:p w14:paraId="4C1B6AD0" w14:textId="77777777" w:rsidR="003D2941" w:rsidRPr="003E53C3" w:rsidRDefault="00785AD6" w:rsidP="003D2941">
      <w:pPr>
        <w:pStyle w:val="ListParagraph"/>
        <w:numPr>
          <w:ilvl w:val="0"/>
          <w:numId w:val="10"/>
        </w:numPr>
        <w:suppressAutoHyphens w:val="0"/>
        <w:rPr>
          <w:i/>
          <w:lang w:eastAsia="en-US"/>
        </w:rPr>
      </w:pPr>
      <w:r>
        <w:rPr>
          <w:lang w:eastAsia="en-US"/>
        </w:rPr>
        <w:t xml:space="preserve">The panel is </w:t>
      </w:r>
      <w:r w:rsidR="00636B96">
        <w:rPr>
          <w:lang w:eastAsia="en-US"/>
        </w:rPr>
        <w:t xml:space="preserve">impressed by </w:t>
      </w:r>
      <w:r>
        <w:rPr>
          <w:lang w:eastAsia="en-US"/>
        </w:rPr>
        <w:t xml:space="preserve">the </w:t>
      </w:r>
      <w:r w:rsidR="00636B96">
        <w:rPr>
          <w:lang w:eastAsia="en-US"/>
        </w:rPr>
        <w:t>course</w:t>
      </w:r>
      <w:r>
        <w:rPr>
          <w:lang w:eastAsia="en-US"/>
        </w:rPr>
        <w:t xml:space="preserve"> proposal, </w:t>
      </w:r>
      <w:r w:rsidRPr="003E53C3">
        <w:rPr>
          <w:i/>
          <w:lang w:eastAsia="en-US"/>
        </w:rPr>
        <w:t xml:space="preserve">but would like to know what the expected course enrollment is and how a large enrollment will be managed. </w:t>
      </w:r>
    </w:p>
    <w:p w14:paraId="52DD999C" w14:textId="77777777" w:rsidR="00CF5CA7" w:rsidRPr="00DB1E5A" w:rsidRDefault="00115848" w:rsidP="003D2941">
      <w:pPr>
        <w:pStyle w:val="ListParagraph"/>
        <w:numPr>
          <w:ilvl w:val="0"/>
          <w:numId w:val="10"/>
        </w:numPr>
        <w:suppressAutoHyphens w:val="0"/>
        <w:rPr>
          <w:b/>
          <w:lang w:eastAsia="en-US"/>
        </w:rPr>
      </w:pPr>
      <w:r>
        <w:t>Zuniga-Shaw</w:t>
      </w:r>
      <w:r w:rsidR="00CF5CA7">
        <w:rPr>
          <w:lang w:eastAsia="en-US"/>
        </w:rPr>
        <w:t xml:space="preserve">, </w:t>
      </w:r>
      <w:r w:rsidRPr="00457DCF">
        <w:rPr>
          <w:color w:val="333333"/>
          <w:shd w:val="clear" w:color="auto" w:fill="FFFFFF"/>
        </w:rPr>
        <w:t>Taleghani-Nikazm</w:t>
      </w:r>
      <w:r w:rsidR="00CF5CA7">
        <w:rPr>
          <w:lang w:eastAsia="en-US"/>
        </w:rPr>
        <w:t xml:space="preserve">, </w:t>
      </w:r>
      <w:r w:rsidR="00CF5CA7" w:rsidRPr="00DB1E5A">
        <w:rPr>
          <w:b/>
          <w:lang w:eastAsia="en-US"/>
        </w:rPr>
        <w:t xml:space="preserve">unanimously </w:t>
      </w:r>
      <w:r w:rsidR="00DB1E5A">
        <w:rPr>
          <w:b/>
          <w:lang w:eastAsia="en-US"/>
        </w:rPr>
        <w:t xml:space="preserve">approved </w:t>
      </w:r>
      <w:r w:rsidR="003E53C3">
        <w:rPr>
          <w:i/>
          <w:lang w:eastAsia="en-US"/>
        </w:rPr>
        <w:t>with one question (in italics above)</w:t>
      </w:r>
    </w:p>
    <w:p w14:paraId="1A5ACCAB" w14:textId="77777777" w:rsidR="00956A26" w:rsidRPr="003D2941" w:rsidRDefault="00956A26" w:rsidP="00956A26">
      <w:pPr>
        <w:suppressAutoHyphens w:val="0"/>
        <w:rPr>
          <w:lang w:eastAsia="en-US"/>
        </w:rPr>
      </w:pPr>
    </w:p>
    <w:p w14:paraId="286A6B2E" w14:textId="77777777" w:rsidR="003D2941" w:rsidRPr="003D2941" w:rsidRDefault="003D2941" w:rsidP="003D2941">
      <w:pPr>
        <w:pStyle w:val="ListParagraph"/>
        <w:numPr>
          <w:ilvl w:val="0"/>
          <w:numId w:val="9"/>
        </w:numPr>
        <w:suppressAutoHyphens w:val="0"/>
        <w:rPr>
          <w:lang w:eastAsia="en-US"/>
        </w:rPr>
      </w:pPr>
      <w:r w:rsidRPr="003D2941">
        <w:rPr>
          <w:lang w:eastAsia="en-US"/>
        </w:rPr>
        <w:t>Comparative Studies and English 5189S (new courses; cross-listed)  </w:t>
      </w:r>
    </w:p>
    <w:p w14:paraId="159E79E3" w14:textId="77777777" w:rsidR="00384F6A" w:rsidRPr="00963D6B" w:rsidRDefault="00384F6A" w:rsidP="003D2941">
      <w:pPr>
        <w:pStyle w:val="ListParagraph"/>
        <w:numPr>
          <w:ilvl w:val="0"/>
          <w:numId w:val="10"/>
        </w:numPr>
        <w:suppressAutoHyphens w:val="0"/>
        <w:rPr>
          <w:i/>
          <w:lang w:eastAsia="en-US"/>
        </w:rPr>
      </w:pPr>
      <w:r w:rsidRPr="00963D6B">
        <w:rPr>
          <w:i/>
          <w:lang w:eastAsia="en-US"/>
        </w:rPr>
        <w:t>Recommendations:</w:t>
      </w:r>
    </w:p>
    <w:p w14:paraId="7BB6B973" w14:textId="77777777" w:rsidR="00384F6A" w:rsidRPr="00963D6B" w:rsidRDefault="00384F6A" w:rsidP="00384F6A">
      <w:pPr>
        <w:pStyle w:val="ListParagraph"/>
        <w:numPr>
          <w:ilvl w:val="1"/>
          <w:numId w:val="2"/>
        </w:numPr>
        <w:shd w:val="clear" w:color="auto" w:fill="FFFFFF"/>
        <w:suppressAutoHyphens w:val="0"/>
        <w:ind w:right="360"/>
        <w:contextualSpacing w:val="0"/>
        <w:textAlignment w:val="baseline"/>
        <w:rPr>
          <w:i/>
          <w:color w:val="222222"/>
          <w:lang w:eastAsia="en-US"/>
        </w:rPr>
      </w:pPr>
      <w:r w:rsidRPr="00963D6B">
        <w:rPr>
          <w:i/>
          <w:lang w:eastAsia="en-US"/>
        </w:rPr>
        <w:t xml:space="preserve">Disability </w:t>
      </w:r>
      <w:r w:rsidRPr="00963D6B">
        <w:rPr>
          <w:i/>
          <w:color w:val="222222"/>
          <w:lang w:eastAsia="en-US"/>
        </w:rPr>
        <w:t xml:space="preserve">statement includes former location in </w:t>
      </w:r>
      <w:proofErr w:type="spellStart"/>
      <w:r w:rsidRPr="00963D6B">
        <w:rPr>
          <w:i/>
          <w:color w:val="222222"/>
          <w:lang w:eastAsia="en-US"/>
        </w:rPr>
        <w:t>Pomerene</w:t>
      </w:r>
      <w:proofErr w:type="spellEnd"/>
      <w:r w:rsidRPr="00963D6B">
        <w:rPr>
          <w:i/>
          <w:color w:val="222222"/>
          <w:lang w:eastAsia="en-US"/>
        </w:rPr>
        <w:t xml:space="preserve"> Hall. Please update to include current location i</w:t>
      </w:r>
      <w:r w:rsidRPr="00963D6B">
        <w:rPr>
          <w:i/>
        </w:rPr>
        <w:t xml:space="preserve">n 098 Baker Hall, 113 W. 12th Avenue. See p. 15 of ASC Curriculum and Assessment Operations Manual </w:t>
      </w:r>
      <w:hyperlink r:id="rId5" w:history="1">
        <w:r w:rsidRPr="00963D6B">
          <w:rPr>
            <w:rStyle w:val="Hyperlink"/>
            <w:b/>
            <w:i/>
            <w:lang w:eastAsia="en-US"/>
          </w:rPr>
          <w:t>https://asccas.osu.edu/sites/asccas.osu.edu/files/ASC_CurrAssess_Operations_Manual.pdf</w:t>
        </w:r>
      </w:hyperlink>
    </w:p>
    <w:p w14:paraId="2BF575A0" w14:textId="77777777" w:rsidR="00384F6A" w:rsidRPr="00963D6B" w:rsidRDefault="00384F6A" w:rsidP="00C34B23">
      <w:pPr>
        <w:pStyle w:val="ListParagraph"/>
        <w:numPr>
          <w:ilvl w:val="1"/>
          <w:numId w:val="10"/>
        </w:numPr>
        <w:suppressAutoHyphens w:val="0"/>
        <w:rPr>
          <w:i/>
          <w:lang w:eastAsia="en-US"/>
        </w:rPr>
      </w:pPr>
      <w:r w:rsidRPr="00963D6B">
        <w:rPr>
          <w:i/>
          <w:lang w:eastAsia="en-US"/>
        </w:rPr>
        <w:t xml:space="preserve">The grading scale on page 4 of the syllabus includes D-, which is not a grade that can be given at OSU. Please remove and revise the grading scale. </w:t>
      </w:r>
    </w:p>
    <w:p w14:paraId="02AE56EB" w14:textId="35EA2D7F" w:rsidR="00384F6A" w:rsidRPr="00963D6B" w:rsidRDefault="00384F6A" w:rsidP="00963D6B">
      <w:pPr>
        <w:pStyle w:val="ListParagraph"/>
        <w:numPr>
          <w:ilvl w:val="1"/>
          <w:numId w:val="12"/>
        </w:numPr>
        <w:suppressAutoHyphens w:val="0"/>
        <w:ind w:left="1080"/>
        <w:rPr>
          <w:lang w:eastAsia="en-US"/>
        </w:rPr>
      </w:pPr>
      <w:r w:rsidRPr="00963D6B">
        <w:rPr>
          <w:lang w:eastAsia="en-US"/>
        </w:rPr>
        <w:t xml:space="preserve">Page 1 </w:t>
      </w:r>
      <w:r w:rsidR="00B272EF">
        <w:rPr>
          <w:lang w:eastAsia="en-US"/>
        </w:rPr>
        <w:t xml:space="preserve">of the syllabus </w:t>
      </w:r>
      <w:r w:rsidRPr="00963D6B">
        <w:rPr>
          <w:lang w:eastAsia="en-US"/>
        </w:rPr>
        <w:t xml:space="preserve">includes a note on </w:t>
      </w:r>
      <w:r w:rsidR="00963D6B" w:rsidRPr="00963D6B">
        <w:rPr>
          <w:lang w:eastAsia="en-US"/>
        </w:rPr>
        <w:t>eligibility that states,</w:t>
      </w:r>
      <w:r w:rsidRPr="00963D6B">
        <w:rPr>
          <w:lang w:eastAsia="en-US"/>
        </w:rPr>
        <w:t xml:space="preserve"> “</w:t>
      </w:r>
      <w:proofErr w:type="gramStart"/>
      <w:r w:rsidRPr="00963D6B">
        <w:rPr>
          <w:lang w:eastAsia="en-US"/>
        </w:rPr>
        <w:t>students</w:t>
      </w:r>
      <w:proofErr w:type="gramEnd"/>
      <w:r w:rsidRPr="00963D6B">
        <w:rPr>
          <w:lang w:eastAsia="en-US"/>
        </w:rPr>
        <w:t xml:space="preserve"> must complete an application process before receiving permission to register for the course.”  ASCCAS will change prerequisite to “permission of instructor”</w:t>
      </w:r>
      <w:r w:rsidR="0074642F">
        <w:rPr>
          <w:lang w:eastAsia="en-US"/>
        </w:rPr>
        <w:t xml:space="preserve"> on form on curriculum.osu.edu</w:t>
      </w:r>
      <w:r w:rsidRPr="00963D6B">
        <w:rPr>
          <w:lang w:eastAsia="en-US"/>
        </w:rPr>
        <w:t xml:space="preserve"> before advancing.  </w:t>
      </w:r>
    </w:p>
    <w:p w14:paraId="75491609" w14:textId="77777777" w:rsidR="00BE0735" w:rsidRDefault="00115848" w:rsidP="00BE0735">
      <w:pPr>
        <w:pStyle w:val="ListParagraph"/>
        <w:numPr>
          <w:ilvl w:val="0"/>
          <w:numId w:val="10"/>
        </w:numPr>
        <w:suppressAutoHyphens w:val="0"/>
        <w:rPr>
          <w:lang w:eastAsia="en-US"/>
        </w:rPr>
      </w:pPr>
      <w:r>
        <w:t>Zuniga-Shaw</w:t>
      </w:r>
      <w:r w:rsidR="00BE0735">
        <w:rPr>
          <w:lang w:eastAsia="en-US"/>
        </w:rPr>
        <w:t xml:space="preserve">, </w:t>
      </w:r>
      <w:r w:rsidRPr="00457DCF">
        <w:rPr>
          <w:color w:val="333333"/>
          <w:shd w:val="clear" w:color="auto" w:fill="FFFFFF"/>
        </w:rPr>
        <w:t>Taleghani-Nikazm</w:t>
      </w:r>
      <w:r w:rsidR="00BE0735">
        <w:rPr>
          <w:lang w:eastAsia="en-US"/>
        </w:rPr>
        <w:t xml:space="preserve">, </w:t>
      </w:r>
      <w:r w:rsidR="00BE0735" w:rsidRPr="00DB1E5A">
        <w:rPr>
          <w:b/>
          <w:lang w:eastAsia="en-US"/>
        </w:rPr>
        <w:t>unanimously approved</w:t>
      </w:r>
      <w:r w:rsidR="00BE0735">
        <w:rPr>
          <w:lang w:eastAsia="en-US"/>
        </w:rPr>
        <w:t xml:space="preserve"> with</w:t>
      </w:r>
      <w:r w:rsidR="00963D6B">
        <w:rPr>
          <w:lang w:eastAsia="en-US"/>
        </w:rPr>
        <w:t xml:space="preserve"> </w:t>
      </w:r>
      <w:r w:rsidR="00963D6B">
        <w:rPr>
          <w:i/>
          <w:lang w:eastAsia="en-US"/>
        </w:rPr>
        <w:t>two recommendations (in italics above)</w:t>
      </w:r>
    </w:p>
    <w:p w14:paraId="0FDF5EF8" w14:textId="77777777" w:rsidR="00956A26" w:rsidRPr="003D2941" w:rsidRDefault="00956A26" w:rsidP="00956A26">
      <w:pPr>
        <w:suppressAutoHyphens w:val="0"/>
        <w:rPr>
          <w:lang w:eastAsia="en-US"/>
        </w:rPr>
      </w:pPr>
    </w:p>
    <w:p w14:paraId="074B18B4" w14:textId="77777777" w:rsidR="003D2941" w:rsidRPr="003D2941" w:rsidRDefault="003D2941" w:rsidP="003D2941">
      <w:pPr>
        <w:pStyle w:val="ListParagraph"/>
        <w:numPr>
          <w:ilvl w:val="0"/>
          <w:numId w:val="9"/>
        </w:numPr>
        <w:suppressAutoHyphens w:val="0"/>
        <w:rPr>
          <w:lang w:eastAsia="en-US"/>
        </w:rPr>
      </w:pPr>
      <w:r w:rsidRPr="003D2941">
        <w:rPr>
          <w:lang w:eastAsia="en-US"/>
        </w:rPr>
        <w:t>Russian 5250.03 (new)  </w:t>
      </w:r>
    </w:p>
    <w:p w14:paraId="25ABC81E" w14:textId="3C07B4C1" w:rsidR="000C24F9" w:rsidRDefault="000C24F9" w:rsidP="003D2941">
      <w:pPr>
        <w:pStyle w:val="ListParagraph"/>
        <w:numPr>
          <w:ilvl w:val="0"/>
          <w:numId w:val="10"/>
        </w:numPr>
        <w:suppressAutoHyphens w:val="0"/>
        <w:rPr>
          <w:b/>
          <w:lang w:eastAsia="en-US"/>
        </w:rPr>
      </w:pPr>
      <w:r>
        <w:rPr>
          <w:i/>
          <w:lang w:eastAsia="en-US"/>
        </w:rPr>
        <w:t>Syllabus states this is a 4 cre</w:t>
      </w:r>
      <w:r w:rsidR="003B27AC">
        <w:rPr>
          <w:i/>
          <w:lang w:eastAsia="en-US"/>
        </w:rPr>
        <w:t>dit hour course. However, form i</w:t>
      </w:r>
      <w:r>
        <w:rPr>
          <w:i/>
          <w:lang w:eastAsia="en-US"/>
        </w:rPr>
        <w:t xml:space="preserve">n curriculum.osu.edu indicates it is a variable 3 to 4 credit hour course. If indeed the course will always be taught as 4 credit hours, there is no need for variable credit hours. Is </w:t>
      </w:r>
      <w:r w:rsidR="002664E9">
        <w:rPr>
          <w:i/>
          <w:lang w:eastAsia="en-US"/>
        </w:rPr>
        <w:t xml:space="preserve">it </w:t>
      </w:r>
      <w:r>
        <w:rPr>
          <w:i/>
          <w:lang w:eastAsia="en-US"/>
        </w:rPr>
        <w:t xml:space="preserve">okay for ASCCAS to change to fixed 4 credit hours before advancing? </w:t>
      </w:r>
    </w:p>
    <w:p w14:paraId="00D4B6A3" w14:textId="777ADDEB" w:rsidR="00943800" w:rsidRPr="000C24F9" w:rsidRDefault="00943800" w:rsidP="0028484E">
      <w:pPr>
        <w:pStyle w:val="ListParagraph"/>
        <w:numPr>
          <w:ilvl w:val="0"/>
          <w:numId w:val="10"/>
        </w:numPr>
        <w:suppressAutoHyphens w:val="0"/>
        <w:ind w:left="720"/>
        <w:rPr>
          <w:b/>
          <w:lang w:eastAsia="en-US"/>
        </w:rPr>
      </w:pPr>
      <w:r w:rsidRPr="000C24F9">
        <w:rPr>
          <w:color w:val="333333"/>
          <w:shd w:val="clear" w:color="auto" w:fill="FFFFFF"/>
        </w:rPr>
        <w:t>Taleghani-Nikazm</w:t>
      </w:r>
      <w:r>
        <w:rPr>
          <w:lang w:eastAsia="en-US"/>
        </w:rPr>
        <w:t>,</w:t>
      </w:r>
      <w:r w:rsidRPr="00115848">
        <w:t xml:space="preserve"> </w:t>
      </w:r>
      <w:r>
        <w:t>Zuniga-Shaw</w:t>
      </w:r>
      <w:r>
        <w:rPr>
          <w:lang w:eastAsia="en-US"/>
        </w:rPr>
        <w:t xml:space="preserve">, </w:t>
      </w:r>
      <w:r w:rsidRPr="000C24F9">
        <w:rPr>
          <w:b/>
          <w:lang w:eastAsia="en-US"/>
        </w:rPr>
        <w:t>unanimously approved</w:t>
      </w:r>
      <w:r>
        <w:rPr>
          <w:lang w:eastAsia="en-US"/>
        </w:rPr>
        <w:t xml:space="preserve"> </w:t>
      </w:r>
      <w:r w:rsidR="000C24F9">
        <w:rPr>
          <w:lang w:eastAsia="en-US"/>
        </w:rPr>
        <w:t xml:space="preserve">with </w:t>
      </w:r>
      <w:r w:rsidR="000C24F9">
        <w:rPr>
          <w:i/>
          <w:lang w:eastAsia="en-US"/>
        </w:rPr>
        <w:t>one question (in italics above)</w:t>
      </w:r>
    </w:p>
    <w:p w14:paraId="3FA082AC" w14:textId="77777777" w:rsidR="000C24F9" w:rsidRPr="000C24F9" w:rsidRDefault="000C24F9" w:rsidP="000C24F9">
      <w:pPr>
        <w:suppressAutoHyphens w:val="0"/>
        <w:rPr>
          <w:b/>
          <w:lang w:eastAsia="en-US"/>
        </w:rPr>
      </w:pPr>
    </w:p>
    <w:p w14:paraId="7B6F3519" w14:textId="7A014DD4" w:rsidR="003D2941" w:rsidRPr="003D2941" w:rsidRDefault="003D2941" w:rsidP="003D2941">
      <w:pPr>
        <w:pStyle w:val="ListParagraph"/>
        <w:numPr>
          <w:ilvl w:val="0"/>
          <w:numId w:val="9"/>
        </w:numPr>
        <w:suppressAutoHyphens w:val="0"/>
        <w:rPr>
          <w:lang w:eastAsia="en-US"/>
        </w:rPr>
      </w:pPr>
      <w:r w:rsidRPr="003D2941">
        <w:rPr>
          <w:lang w:eastAsia="en-US"/>
        </w:rPr>
        <w:t>Russian 5250.04 (new</w:t>
      </w:r>
      <w:r w:rsidR="000C24F9">
        <w:rPr>
          <w:lang w:eastAsia="en-US"/>
        </w:rPr>
        <w:t>)</w:t>
      </w:r>
    </w:p>
    <w:p w14:paraId="53CB7836" w14:textId="79546758" w:rsidR="000C24F9" w:rsidRPr="00943800" w:rsidRDefault="000C24F9" w:rsidP="003D2941">
      <w:pPr>
        <w:pStyle w:val="ListParagraph"/>
        <w:numPr>
          <w:ilvl w:val="0"/>
          <w:numId w:val="10"/>
        </w:numPr>
        <w:suppressAutoHyphens w:val="0"/>
        <w:rPr>
          <w:b/>
          <w:lang w:eastAsia="en-US"/>
        </w:rPr>
      </w:pPr>
      <w:r>
        <w:rPr>
          <w:i/>
          <w:lang w:eastAsia="en-US"/>
        </w:rPr>
        <w:t xml:space="preserve">Syllabus </w:t>
      </w:r>
      <w:r w:rsidR="003B27AC">
        <w:rPr>
          <w:i/>
          <w:lang w:eastAsia="en-US"/>
        </w:rPr>
        <w:t>and form in curriculum.osu.edu indicate</w:t>
      </w:r>
      <w:r>
        <w:rPr>
          <w:i/>
          <w:lang w:eastAsia="en-US"/>
        </w:rPr>
        <w:t xml:space="preserve"> variable 3 to 4 credit hour course. However, nothing in syllabus accounts for variability of credit hours. In phone conversation, Derek Peterson indicated that Professor Ballard intends to teach </w:t>
      </w:r>
      <w:r w:rsidR="002664E9">
        <w:rPr>
          <w:i/>
          <w:lang w:eastAsia="en-US"/>
        </w:rPr>
        <w:t>the course as</w:t>
      </w:r>
      <w:r>
        <w:rPr>
          <w:i/>
          <w:lang w:eastAsia="en-US"/>
        </w:rPr>
        <w:t xml:space="preserve"> fixed 3 credit hours. Therefore, is it okay for ASCCAS to change form on curriculum.osu.edu to fixed 3 credit hours before advancing?</w:t>
      </w:r>
    </w:p>
    <w:p w14:paraId="794F8C61" w14:textId="2CC2AE3A" w:rsidR="00F83AEA" w:rsidRPr="000C24F9" w:rsidRDefault="00115848" w:rsidP="003D2941">
      <w:pPr>
        <w:pStyle w:val="ListParagraph"/>
        <w:numPr>
          <w:ilvl w:val="0"/>
          <w:numId w:val="10"/>
        </w:numPr>
        <w:suppressAutoHyphens w:val="0"/>
        <w:rPr>
          <w:lang w:eastAsia="en-US"/>
        </w:rPr>
      </w:pPr>
      <w:r w:rsidRPr="00457DCF">
        <w:rPr>
          <w:color w:val="333333"/>
          <w:shd w:val="clear" w:color="auto" w:fill="FFFFFF"/>
        </w:rPr>
        <w:t>Taleghani-Nikazm</w:t>
      </w:r>
      <w:r w:rsidR="00F83AEA">
        <w:rPr>
          <w:lang w:eastAsia="en-US"/>
        </w:rPr>
        <w:t>,</w:t>
      </w:r>
      <w:r w:rsidRPr="00115848">
        <w:t xml:space="preserve"> </w:t>
      </w:r>
      <w:r>
        <w:t>Zuniga-Shaw</w:t>
      </w:r>
      <w:r>
        <w:rPr>
          <w:lang w:eastAsia="en-US"/>
        </w:rPr>
        <w:t xml:space="preserve">, </w:t>
      </w:r>
      <w:r w:rsidR="00F83AEA" w:rsidRPr="00DB1E5A">
        <w:rPr>
          <w:b/>
          <w:lang w:eastAsia="en-US"/>
        </w:rPr>
        <w:t>unanimously approved</w:t>
      </w:r>
      <w:r w:rsidR="00F83AEA">
        <w:rPr>
          <w:lang w:eastAsia="en-US"/>
        </w:rPr>
        <w:t xml:space="preserve"> </w:t>
      </w:r>
      <w:r w:rsidR="000C24F9">
        <w:rPr>
          <w:lang w:eastAsia="en-US"/>
        </w:rPr>
        <w:t xml:space="preserve">with </w:t>
      </w:r>
      <w:r w:rsidR="000C24F9">
        <w:rPr>
          <w:i/>
          <w:lang w:eastAsia="en-US"/>
        </w:rPr>
        <w:t>one question (in italics above)</w:t>
      </w:r>
    </w:p>
    <w:p w14:paraId="7BC94F42" w14:textId="77777777" w:rsidR="00B220DC" w:rsidRPr="000C24F9" w:rsidRDefault="00B220DC" w:rsidP="003D2941">
      <w:pPr>
        <w:shd w:val="clear" w:color="auto" w:fill="FFFFFF"/>
        <w:suppressAutoHyphens w:val="0"/>
        <w:ind w:left="720" w:right="360"/>
        <w:textAlignment w:val="baseline"/>
      </w:pPr>
    </w:p>
    <w:sectPr w:rsidR="00B220DC" w:rsidRPr="000C2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7410C"/>
    <w:multiLevelType w:val="hybridMultilevel"/>
    <w:tmpl w:val="DE1EC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33367"/>
    <w:multiLevelType w:val="hybridMultilevel"/>
    <w:tmpl w:val="4A424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1327B"/>
    <w:multiLevelType w:val="hybridMultilevel"/>
    <w:tmpl w:val="3C504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E65DC"/>
    <w:multiLevelType w:val="hybridMultilevel"/>
    <w:tmpl w:val="EF48285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9B962A9"/>
    <w:multiLevelType w:val="hybridMultilevel"/>
    <w:tmpl w:val="5C4EA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109AD"/>
    <w:multiLevelType w:val="hybridMultilevel"/>
    <w:tmpl w:val="DF486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628C"/>
    <w:multiLevelType w:val="hybridMultilevel"/>
    <w:tmpl w:val="D08E6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755AD4"/>
    <w:multiLevelType w:val="hybridMultilevel"/>
    <w:tmpl w:val="82EAF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B200F8"/>
    <w:multiLevelType w:val="hybridMultilevel"/>
    <w:tmpl w:val="A3B4B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D202B"/>
    <w:multiLevelType w:val="hybridMultilevel"/>
    <w:tmpl w:val="FB823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FD59FD"/>
    <w:multiLevelType w:val="hybridMultilevel"/>
    <w:tmpl w:val="2E284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1A"/>
    <w:rsid w:val="000C24F9"/>
    <w:rsid w:val="000E0036"/>
    <w:rsid w:val="00115848"/>
    <w:rsid w:val="00142E36"/>
    <w:rsid w:val="002664E9"/>
    <w:rsid w:val="00380E7A"/>
    <w:rsid w:val="00384F6A"/>
    <w:rsid w:val="003B27AC"/>
    <w:rsid w:val="003D2941"/>
    <w:rsid w:val="003E53C3"/>
    <w:rsid w:val="00462988"/>
    <w:rsid w:val="004E75F9"/>
    <w:rsid w:val="00636B96"/>
    <w:rsid w:val="006C7A99"/>
    <w:rsid w:val="006E2750"/>
    <w:rsid w:val="0074642F"/>
    <w:rsid w:val="00776249"/>
    <w:rsid w:val="00785AD6"/>
    <w:rsid w:val="007A332D"/>
    <w:rsid w:val="007B6998"/>
    <w:rsid w:val="00943800"/>
    <w:rsid w:val="00956A26"/>
    <w:rsid w:val="00963D6B"/>
    <w:rsid w:val="009D382E"/>
    <w:rsid w:val="00AC18E0"/>
    <w:rsid w:val="00AC1B5F"/>
    <w:rsid w:val="00AD0C1A"/>
    <w:rsid w:val="00B220DC"/>
    <w:rsid w:val="00B272EF"/>
    <w:rsid w:val="00B326A7"/>
    <w:rsid w:val="00BE0735"/>
    <w:rsid w:val="00BF1D6D"/>
    <w:rsid w:val="00CD4D80"/>
    <w:rsid w:val="00CF5CA7"/>
    <w:rsid w:val="00D56CDA"/>
    <w:rsid w:val="00D860B4"/>
    <w:rsid w:val="00DB1E5A"/>
    <w:rsid w:val="00E34DE6"/>
    <w:rsid w:val="00E87A84"/>
    <w:rsid w:val="00E91033"/>
    <w:rsid w:val="00E93C5B"/>
    <w:rsid w:val="00F033B4"/>
    <w:rsid w:val="00F1546F"/>
    <w:rsid w:val="00F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55E1"/>
  <w15:chartTrackingRefBased/>
  <w15:docId w15:val="{8C7C3F70-CD85-4FE7-B7E3-075743B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0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C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3C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C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C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ccas.osu.edu/sites/asccas.osu.edu/files/ASC_CurrAssess_Operations_Manu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Oldroyd, Shelby Q.</dc:creator>
  <cp:keywords/>
  <dc:description/>
  <cp:lastModifiedBy>Vankeerbergen, Bernadette</cp:lastModifiedBy>
  <cp:revision>2</cp:revision>
  <dcterms:created xsi:type="dcterms:W3CDTF">2017-03-07T17:40:00Z</dcterms:created>
  <dcterms:modified xsi:type="dcterms:W3CDTF">2017-03-07T17:40:00Z</dcterms:modified>
</cp:coreProperties>
</file>